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der Kreisstraße MSE 16 L 241 - Knotenpunkt Abs. 15/20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Straßen- und Tiefbauarbeiten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